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Приложение N 13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Calibri" w:hAnsi="Calibri" w:cs="Calibri"/>
        </w:rPr>
      </w:pPr>
      <w:r w:rsidRPr="00E70FD3">
        <w:rPr>
          <w:rFonts w:ascii="Calibri" w:hAnsi="Calibri" w:cs="Calibri"/>
        </w:rPr>
        <w:t>к Государственной программе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Список изменяющих документов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proofErr w:type="gramStart"/>
      <w:r w:rsidRPr="00E70FD3">
        <w:rPr>
          <w:rFonts w:ascii="Calibri" w:hAnsi="Calibri" w:cs="Calibri"/>
        </w:rPr>
        <w:t xml:space="preserve">(введено </w:t>
      </w:r>
      <w:hyperlink r:id="rId4" w:history="1">
        <w:r w:rsidRPr="00E70FD3">
          <w:rPr>
            <w:rFonts w:ascii="Calibri" w:hAnsi="Calibri" w:cs="Calibri"/>
            <w:color w:val="0000FF"/>
          </w:rPr>
          <w:t>постановлением</w:t>
        </w:r>
      </w:hyperlink>
      <w:r w:rsidRPr="00E70FD3">
        <w:rPr>
          <w:rFonts w:ascii="Calibri" w:hAnsi="Calibri" w:cs="Calibri"/>
        </w:rPr>
        <w:t xml:space="preserve"> Правительства Кировской области</w:t>
      </w:r>
      <w:proofErr w:type="gramEnd"/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от 04.05.2016 N 97/282;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в ред. </w:t>
      </w:r>
      <w:hyperlink r:id="rId5" w:history="1">
        <w:r w:rsidRPr="00E70FD3">
          <w:rPr>
            <w:rFonts w:ascii="Calibri" w:hAnsi="Calibri" w:cs="Calibri"/>
            <w:color w:val="0000FF"/>
          </w:rPr>
          <w:t>постановления</w:t>
        </w:r>
      </w:hyperlink>
      <w:r w:rsidRPr="00E70FD3">
        <w:rPr>
          <w:rFonts w:ascii="Calibri" w:hAnsi="Calibri" w:cs="Calibri"/>
        </w:rPr>
        <w:t xml:space="preserve"> Правительства Кировской области от 31.01.2017 N 43/66)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Calibri" w:hAnsi="Calibri" w:cs="Calibri"/>
        </w:rPr>
      </w:pPr>
      <w:r w:rsidRPr="00E70FD3">
        <w:rPr>
          <w:rFonts w:ascii="Calibri" w:hAnsi="Calibri" w:cs="Calibri"/>
        </w:rPr>
        <w:t>Паспорт подпрограммы "Повышение безопасности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дорожного движения в 2016 - 2020 годах"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(далее - Подпрограмма)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746"/>
      </w:tblGrid>
      <w:tr w:rsidR="00E70FD3" w:rsidRPr="00E70FD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Ответственный исполнитель Подпрограммы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министерство транспорта Кировской области</w:t>
            </w:r>
          </w:p>
        </w:tc>
      </w:tr>
      <w:tr w:rsidR="00E70FD3" w:rsidRPr="00E70FD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Соисполнители Подпрограммы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министерство внутренней и информационной политики Кировской области;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министерство здравоохранения Кировской области;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министерство информационных технологий и связи Кировской области;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министерство образования Кировской области</w:t>
            </w:r>
          </w:p>
        </w:tc>
      </w:tr>
      <w:tr w:rsidR="00E70FD3" w:rsidRPr="00E70FD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Цель Подпрограммы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обеспечение безопасности дорожного движения</w:t>
            </w:r>
          </w:p>
        </w:tc>
      </w:tr>
      <w:tr w:rsidR="00E70FD3" w:rsidRPr="00E70FD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повышение культуры участников дорожного движения;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повышение безопасности дорожных условий</w:t>
            </w:r>
          </w:p>
        </w:tc>
      </w:tr>
      <w:tr w:rsidR="00E70FD3" w:rsidRPr="00E70FD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Целевые показатели эффективности реализации Подпрограммы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число лиц, погибших в результате дорожно-транспортных происшествий (далее - ДТП);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число детей в возрасте до 16 лет, погибших в результате ДТП;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социальный риск (число лиц, погибших в ДТП, на 100 тыс. населения);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транспортный риск (число лиц, погибших в ДТП, на 10 тыс. транспортных средств)</w:t>
            </w:r>
          </w:p>
        </w:tc>
      </w:tr>
      <w:tr w:rsidR="00E70FD3" w:rsidRPr="00E70FD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2016 - 2020 годы. Выделение этапов не предусматривается</w:t>
            </w:r>
          </w:p>
        </w:tc>
      </w:tr>
      <w:tr w:rsidR="00E70FD3" w:rsidRPr="00E70FD3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Объем финансового обеспечения Подпрограммы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объем финансирования Подпрограммы составляет 1057247,96 тыс. рублей (средства областного бюджета)</w:t>
            </w:r>
          </w:p>
        </w:tc>
      </w:tr>
      <w:tr w:rsidR="00E70FD3" w:rsidRPr="00E70FD3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 xml:space="preserve">(в ред. </w:t>
            </w:r>
            <w:hyperlink r:id="rId6" w:history="1">
              <w:r w:rsidRPr="00E70FD3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E70FD3">
              <w:rPr>
                <w:rFonts w:ascii="Calibri" w:hAnsi="Calibri" w:cs="Calibri"/>
              </w:rPr>
              <w:t xml:space="preserve"> Правительства Кировской области от 31.01.2017 N 43/66)</w:t>
            </w:r>
          </w:p>
        </w:tc>
      </w:tr>
      <w:tr w:rsidR="00E70FD3" w:rsidRPr="00E70FD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Ожидаемые конечные результаты реализации Подпрограммы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уменьшение числа лиц, погибших в результате ДТП, до 172 человек;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уменьшение числа детей в возрасте до 16 лет, погибших в результате ДТП, до 7 человек;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снижение социального риска (число лиц, погибших в ДТП, на 100 тыс. населения) до 13,19 человека;</w:t>
            </w:r>
          </w:p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снижение транспортного риска (число лиц, погибших в ДТП, на 10 тыс. транспортных средств) до 3,58 человека</w:t>
            </w:r>
          </w:p>
        </w:tc>
      </w:tr>
    </w:tbl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Calibri" w:hAnsi="Calibri" w:cs="Calibri"/>
        </w:rPr>
      </w:pPr>
      <w:r w:rsidRPr="00E70FD3">
        <w:rPr>
          <w:rFonts w:ascii="Calibri" w:hAnsi="Calibri" w:cs="Calibri"/>
        </w:rPr>
        <w:t>1. Общая характеристика сферы реализации Подпрограммы,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в том числе формулировки основных проблем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lastRenderedPageBreak/>
        <w:t>в указанной сфере и прогноз ее развития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Проблема аварийности на автотранспорте стала особенно актуальной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Ежегодно в Кировской области в результате ДТП погибают более 200 человек и получают травмы более 2000 человек. За последние 5 лет (2010 - 2014 годы) на дорогах погибло 45 несовершеннолетних в возрасте до 16 лет, было травмировано 1170 детей.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По итогам 2015 года на территории Кировской области зарегистрировано 1689 ДТП, в результате которых погибло 192 человека, ранено 2195 человек. С участием детей и подростков в возрасте до 16 лет зарегистрировано 194 ДТП, в которых погибло 8 и получило ранения 206 детей.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Текущая ситуация с аварийностью в Кировской области характеризуется следующими параметрами: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proofErr w:type="gramStart"/>
      <w:r w:rsidRPr="00E70FD3">
        <w:rPr>
          <w:rFonts w:ascii="Calibri" w:hAnsi="Calibri" w:cs="Calibri"/>
        </w:rPr>
        <w:t>около 70% ДТП в области происходит на территории городов и населенных пунктов, в которых погибают более 35% и получают ранения более 60% от общего числа пострадавших;</w:t>
      </w:r>
      <w:proofErr w:type="gramEnd"/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основными видами ДТП являются столкновения (36% от всех происшествий, 46% от всех погибших) и наезды на пешеходов (32% от всех ДТП, 29% от всех погибших);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свыше половины (64%) погибших в Д</w:t>
      </w:r>
      <w:proofErr w:type="gramStart"/>
      <w:r w:rsidRPr="00E70FD3">
        <w:rPr>
          <w:rFonts w:ascii="Calibri" w:hAnsi="Calibri" w:cs="Calibri"/>
        </w:rPr>
        <w:t>ТП в 20</w:t>
      </w:r>
      <w:proofErr w:type="gramEnd"/>
      <w:r w:rsidRPr="00E70FD3">
        <w:rPr>
          <w:rFonts w:ascii="Calibri" w:hAnsi="Calibri" w:cs="Calibri"/>
        </w:rPr>
        <w:t>14 году составили лица в возрасте 26 - 60 лет, из которых 52% - лица наиболее трудоспособного возраста (26 - 40 лет).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В общей структуре аварийности наибольшее количество ДТП происходит по причине нарушения </w:t>
      </w:r>
      <w:hyperlink r:id="rId7" w:history="1">
        <w:r w:rsidRPr="00E70FD3">
          <w:rPr>
            <w:rFonts w:ascii="Calibri" w:hAnsi="Calibri" w:cs="Calibri"/>
            <w:color w:val="0000FF"/>
          </w:rPr>
          <w:t>Правил</w:t>
        </w:r>
      </w:hyperlink>
      <w:r w:rsidRPr="00E70FD3">
        <w:rPr>
          <w:rFonts w:ascii="Calibri" w:hAnsi="Calibri" w:cs="Calibri"/>
        </w:rPr>
        <w:t xml:space="preserve"> дорожного движения водителями транспортных средств. Удельный вес таких происшествий остается высоким (более 86% на протяжении последних трех лет).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Сопутствующим условием 3 из 10 ДТП и гибели каждого третьего участника дорожного движения являются недостатки транспортно-эксплуатационного состояния улично-дорожной сети.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Таким образом, основными факторами, непосредственно влияющими на безопасность дорожного движения в Кировской области, являются: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низкие потребительские свойства автомобильных дорог;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недостаточный уровень технической оснащенности автомобильных дорог и несовершенство системы контроля и управления дорожным движением;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низкая водительская дисциплина.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Меры, направленные на исправление ситуации, неэффективны, поскольку не носят целенаправленного характера и не подчинены единой задаче.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Мероприятия в области обеспечения безопасности дорожного движения финансируются в основном за счет средств, выделяемых на осуществление текущей деятельности органов исполнительной власти.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Фактически отсутствует комплекс организационных, плановых и инженерных мер в области совершенствования системы управления движением транспорта. Реализуемые мероприятия носят эпизодический характер. Воздействие на участников дорожного движения с целью </w:t>
      </w:r>
      <w:r w:rsidRPr="00E70FD3">
        <w:rPr>
          <w:rFonts w:ascii="Calibri" w:hAnsi="Calibri" w:cs="Calibri"/>
        </w:rPr>
        <w:lastRenderedPageBreak/>
        <w:t>формирования общественно значимых стереотипов транспортной культуры и повышения правосознания осуществляется недостаточно.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Подпрограмма позволит обеспечить комплексное и системное решение данной проблемы на основе: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определения конкретных целей, задач и мероприятий;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концентрации ресурсов с целью реализации мероприятий, осуществляемых в сфере обеспечения безопасности дорожного движения;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повышения эффективности управления в области обеспечения безопасности дорожного движения.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Таким образом, использование программно-целевого метода позволит существенно повысить эффективность деятельности органов исполнительной власти Кировской области по обеспечению безопасности дорожного движения.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Calibri" w:hAnsi="Calibri" w:cs="Calibri"/>
        </w:rPr>
      </w:pPr>
      <w:r w:rsidRPr="00E70FD3">
        <w:rPr>
          <w:rFonts w:ascii="Calibri" w:hAnsi="Calibri" w:cs="Calibri"/>
        </w:rPr>
        <w:t>2. Приоритеты государственной политики в сфере реализации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Подпрограммы, цели, задачи, целевые показатели эффективности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реализации Подпрограммы, описание </w:t>
      </w:r>
      <w:proofErr w:type="gramStart"/>
      <w:r w:rsidRPr="00E70FD3">
        <w:rPr>
          <w:rFonts w:ascii="Calibri" w:hAnsi="Calibri" w:cs="Calibri"/>
        </w:rPr>
        <w:t>ожидаемых</w:t>
      </w:r>
      <w:proofErr w:type="gramEnd"/>
      <w:r w:rsidRPr="00E70FD3">
        <w:rPr>
          <w:rFonts w:ascii="Calibri" w:hAnsi="Calibri" w:cs="Calibri"/>
        </w:rPr>
        <w:t xml:space="preserve"> конечных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результатов реализации Подпрограммы, сроков и этапов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реализации Подпрограммы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Подпрограмма базируется на положениях Федерального </w:t>
      </w:r>
      <w:hyperlink r:id="rId8" w:history="1">
        <w:r w:rsidRPr="00E70FD3">
          <w:rPr>
            <w:rFonts w:ascii="Calibri" w:hAnsi="Calibri" w:cs="Calibri"/>
            <w:color w:val="0000FF"/>
          </w:rPr>
          <w:t>закона</w:t>
        </w:r>
      </w:hyperlink>
      <w:r w:rsidRPr="00E70FD3">
        <w:rPr>
          <w:rFonts w:ascii="Calibri" w:hAnsi="Calibri" w:cs="Calibri"/>
        </w:rPr>
        <w:t xml:space="preserve"> от 10.12.1995 N 196-ФЗ "О безопасности дорожного движения" и разработана в соответствии с рекомендациями Министерства внутренних дел Российской Федерации (письмо N 13ФЦП/940 от 10.06.2015).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В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 и Кировской области. Так, </w:t>
      </w:r>
      <w:hyperlink r:id="rId9" w:history="1">
        <w:r w:rsidRPr="00E70FD3">
          <w:rPr>
            <w:rFonts w:ascii="Calibri" w:hAnsi="Calibri" w:cs="Calibri"/>
            <w:color w:val="0000FF"/>
          </w:rPr>
          <w:t>Указом</w:t>
        </w:r>
      </w:hyperlink>
      <w:r w:rsidRPr="00E70FD3">
        <w:rPr>
          <w:rFonts w:ascii="Calibri" w:hAnsi="Calibri" w:cs="Calibri"/>
        </w:rPr>
        <w:t xml:space="preserve"> Президента Российской Федерации от 07.05.2012 N 598 "О совершенствовании государственной политики в сфере здравоохранения", федеральной целевой </w:t>
      </w:r>
      <w:hyperlink r:id="rId10" w:history="1">
        <w:r w:rsidRPr="00E70FD3">
          <w:rPr>
            <w:rFonts w:ascii="Calibri" w:hAnsi="Calibri" w:cs="Calibri"/>
            <w:color w:val="0000FF"/>
          </w:rPr>
          <w:t>программой</w:t>
        </w:r>
      </w:hyperlink>
      <w:r w:rsidRPr="00E70FD3">
        <w:rPr>
          <w:rFonts w:ascii="Calibri" w:hAnsi="Calibri" w:cs="Calibri"/>
        </w:rPr>
        <w:t xml:space="preserve"> "Повышение безопасности дорожного движения в 2013 - 2020 годах", утвержденной постановлением Правительства Российской Федерации от 03.10.2013 N 864, определена задача по снижению общего количества погибших в ДТП людей.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Целью Подпрограммы является обеспечение безопасности дорожного движения.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Достижение заявленной цели предполагает использование системного подхода к определению следующих взаимодополняющих приоритетных задач: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hyperlink w:anchor="Par95" w:history="1">
        <w:r w:rsidRPr="00E70FD3">
          <w:rPr>
            <w:rFonts w:ascii="Calibri" w:hAnsi="Calibri" w:cs="Calibri"/>
            <w:color w:val="0000FF"/>
          </w:rPr>
          <w:t>повышение</w:t>
        </w:r>
      </w:hyperlink>
      <w:r w:rsidRPr="00E70FD3">
        <w:rPr>
          <w:rFonts w:ascii="Calibri" w:hAnsi="Calibri" w:cs="Calibri"/>
        </w:rPr>
        <w:t xml:space="preserve"> культуры участников дорожного движения;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hyperlink w:anchor="Par114" w:history="1">
        <w:r w:rsidRPr="00E70FD3">
          <w:rPr>
            <w:rFonts w:ascii="Calibri" w:hAnsi="Calibri" w:cs="Calibri"/>
            <w:color w:val="0000FF"/>
          </w:rPr>
          <w:t>повышение</w:t>
        </w:r>
      </w:hyperlink>
      <w:r w:rsidRPr="00E70FD3">
        <w:rPr>
          <w:rFonts w:ascii="Calibri" w:hAnsi="Calibri" w:cs="Calibri"/>
        </w:rPr>
        <w:t xml:space="preserve"> безопасности дорожных условий.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Оценка достижения цели Подпрограммы по годам ее реализации осуществляется с использованием следующих целевых показателей: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число лиц, погибших в результате ДТП;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число детей в возрасте до 16 лет, погибших в результате ДТП;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lastRenderedPageBreak/>
        <w:t>социальный риск (число лиц, погибших в ДТП, на 100 тыс. населения);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транспортный риск (число лиц, погибших в ДТП, на 10 тыс. транспортных средств).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Значения целевых показателей определяются на основании статистических данных ведомственного </w:t>
      </w:r>
      <w:proofErr w:type="gramStart"/>
      <w:r w:rsidRPr="00E70FD3">
        <w:rPr>
          <w:rFonts w:ascii="Calibri" w:hAnsi="Calibri" w:cs="Calibri"/>
        </w:rPr>
        <w:t>отчета Управления Государственной инспекции безопасности дорожного движения Управления Министерства внутренних дел Российской Федерации</w:t>
      </w:r>
      <w:proofErr w:type="gramEnd"/>
      <w:r w:rsidRPr="00E70FD3">
        <w:rPr>
          <w:rFonts w:ascii="Calibri" w:hAnsi="Calibri" w:cs="Calibri"/>
        </w:rPr>
        <w:t xml:space="preserve"> по Кировской области. Динамика значений целевых показателей Подпрограммы по годам ее реализации представлена в </w:t>
      </w:r>
      <w:hyperlink r:id="rId11" w:history="1">
        <w:r w:rsidRPr="00E70FD3">
          <w:rPr>
            <w:rFonts w:ascii="Calibri" w:hAnsi="Calibri" w:cs="Calibri"/>
            <w:color w:val="0000FF"/>
          </w:rPr>
          <w:t>приложении N 1</w:t>
        </w:r>
      </w:hyperlink>
      <w:r w:rsidRPr="00E70FD3">
        <w:rPr>
          <w:rFonts w:ascii="Calibri" w:hAnsi="Calibri" w:cs="Calibri"/>
        </w:rPr>
        <w:t xml:space="preserve"> к Государственной программе.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В результате реализации Подпрограммы планируется достичь следующих значений целевых показателей: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уменьшение числа лиц, погибших в результате ДТП, до 172 человек;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уменьшение числа детей в возрасте до 16 лет, погибших в результате ДТП, до 7 человек;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снижение социального риска (число лиц, погибших в ДТП, на 100 тыс. населения) до 13,19 человека;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снижение транспортного риска (число лиц, погибших в ДТП, на 10 тыс. транспортных средств) до 3,58 человека.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Срок реализации Подпрограммы: 2016 - 2020 годы.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Подпрограмма не имеет разбивки на этапы, программные мероприятия реализуются на протяжении всего периода реализации.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Calibri" w:hAnsi="Calibri" w:cs="Calibri"/>
        </w:rPr>
      </w:pPr>
      <w:r w:rsidRPr="00E70FD3">
        <w:rPr>
          <w:rFonts w:ascii="Calibri" w:hAnsi="Calibri" w:cs="Calibri"/>
        </w:rPr>
        <w:t>3. Обобщенная характеристика мероприятий Подпрограммы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bookmarkStart w:id="0" w:name="Par95"/>
      <w:bookmarkEnd w:id="0"/>
      <w:r w:rsidRPr="00E70FD3">
        <w:rPr>
          <w:rFonts w:ascii="Calibri" w:hAnsi="Calibri" w:cs="Calibri"/>
        </w:rPr>
        <w:t>3.1. Для решения задачи "Повышение культуры участников дорожного движения" определены следующие отдельные мероприятия Подпрограммы: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3.1.1. "Развитие </w:t>
      </w:r>
      <w:proofErr w:type="gramStart"/>
      <w:r w:rsidRPr="00E70FD3">
        <w:rPr>
          <w:rFonts w:ascii="Calibri" w:hAnsi="Calibri" w:cs="Calibri"/>
        </w:rPr>
        <w:t>системы предупреждения опасного поведения участников дорожного движения</w:t>
      </w:r>
      <w:proofErr w:type="gramEnd"/>
      <w:r w:rsidRPr="00E70FD3">
        <w:rPr>
          <w:rFonts w:ascii="Calibri" w:hAnsi="Calibri" w:cs="Calibri"/>
        </w:rPr>
        <w:t>".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Основными мероприятиями по данному отдельному мероприятию являются: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приобретение мобильных комплексов </w:t>
      </w:r>
      <w:proofErr w:type="spellStart"/>
      <w:r w:rsidRPr="00E70FD3">
        <w:rPr>
          <w:rFonts w:ascii="Calibri" w:hAnsi="Calibri" w:cs="Calibri"/>
        </w:rPr>
        <w:t>фотовидеофиксации</w:t>
      </w:r>
      <w:proofErr w:type="spellEnd"/>
      <w:r w:rsidRPr="00E70FD3">
        <w:rPr>
          <w:rFonts w:ascii="Calibri" w:hAnsi="Calibri" w:cs="Calibri"/>
        </w:rPr>
        <w:t xml:space="preserve"> нарушений </w:t>
      </w:r>
      <w:hyperlink r:id="rId12" w:history="1">
        <w:r w:rsidRPr="00E70FD3">
          <w:rPr>
            <w:rFonts w:ascii="Calibri" w:hAnsi="Calibri" w:cs="Calibri"/>
            <w:color w:val="0000FF"/>
          </w:rPr>
          <w:t>Правил</w:t>
        </w:r>
      </w:hyperlink>
      <w:r w:rsidRPr="00E70FD3">
        <w:rPr>
          <w:rFonts w:ascii="Calibri" w:hAnsi="Calibri" w:cs="Calibri"/>
        </w:rPr>
        <w:t xml:space="preserve"> дорожного движения;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создание и размещение в эфире региональных телеканалов телевизионных программ, и (или) сюжетов, и (или) видеороликов, предназначенных для участников дорожного движения;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организация в печатных средствах массовой информации специальных тематических рубрик для систематического освещения проблемных вопросов безопасности дорожного движения;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приобретение планшетов для обеспечения мобильного доступа нарядов дорожно-патрульной службы Государственной </w:t>
      </w:r>
      <w:proofErr w:type="gramStart"/>
      <w:r w:rsidRPr="00E70FD3">
        <w:rPr>
          <w:rFonts w:ascii="Calibri" w:hAnsi="Calibri" w:cs="Calibri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E70FD3">
        <w:rPr>
          <w:rFonts w:ascii="Calibri" w:hAnsi="Calibri" w:cs="Calibri"/>
        </w:rPr>
        <w:t xml:space="preserve"> по Кировской области к информационным ресурсам и для оформления ДТП и административных материалов в комплекте с компактными принтерами;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приобретение носимых </w:t>
      </w:r>
      <w:proofErr w:type="spellStart"/>
      <w:r w:rsidRPr="00E70FD3">
        <w:rPr>
          <w:rFonts w:ascii="Calibri" w:hAnsi="Calibri" w:cs="Calibri"/>
        </w:rPr>
        <w:t>видеорегистраторов</w:t>
      </w:r>
      <w:proofErr w:type="spellEnd"/>
      <w:r w:rsidRPr="00E70FD3">
        <w:rPr>
          <w:rFonts w:ascii="Calibri" w:hAnsi="Calibri" w:cs="Calibri"/>
        </w:rPr>
        <w:t xml:space="preserve"> для сотрудников Государственной </w:t>
      </w:r>
      <w:proofErr w:type="gramStart"/>
      <w:r w:rsidRPr="00E70FD3">
        <w:rPr>
          <w:rFonts w:ascii="Calibri" w:hAnsi="Calibri" w:cs="Calibri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 w:rsidRPr="00E70FD3">
        <w:rPr>
          <w:rFonts w:ascii="Calibri" w:hAnsi="Calibri" w:cs="Calibri"/>
        </w:rPr>
        <w:t xml:space="preserve"> по Кировской области;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lastRenderedPageBreak/>
        <w:t xml:space="preserve">приобретение стойки для хранения и обработки информации, зарядки </w:t>
      </w:r>
      <w:proofErr w:type="spellStart"/>
      <w:r w:rsidRPr="00E70FD3">
        <w:rPr>
          <w:rFonts w:ascii="Calibri" w:hAnsi="Calibri" w:cs="Calibri"/>
        </w:rPr>
        <w:t>видеорегистраторов</w:t>
      </w:r>
      <w:proofErr w:type="spellEnd"/>
      <w:r w:rsidRPr="00E70FD3">
        <w:rPr>
          <w:rFonts w:ascii="Calibri" w:hAnsi="Calibri" w:cs="Calibri"/>
        </w:rPr>
        <w:t xml:space="preserve"> с программным обеспечением;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приобретение периферийных хранилищ сведений, полученных при использовании </w:t>
      </w:r>
      <w:proofErr w:type="spellStart"/>
      <w:r w:rsidRPr="00E70FD3">
        <w:rPr>
          <w:rFonts w:ascii="Calibri" w:hAnsi="Calibri" w:cs="Calibri"/>
        </w:rPr>
        <w:t>видеорегистраторов</w:t>
      </w:r>
      <w:proofErr w:type="spellEnd"/>
      <w:r w:rsidRPr="00E70FD3">
        <w:rPr>
          <w:rFonts w:ascii="Calibri" w:hAnsi="Calibri" w:cs="Calibri"/>
        </w:rPr>
        <w:t>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приобретение укладок для оказания первой помощи сотрудниками Государственной инспекции </w:t>
      </w:r>
      <w:proofErr w:type="gramStart"/>
      <w:r w:rsidRPr="00E70FD3">
        <w:rPr>
          <w:rFonts w:ascii="Calibri" w:hAnsi="Calibri" w:cs="Calibri"/>
        </w:rPr>
        <w:t>безопасности дорожного движения Управления Министерства внутренних дел Российской Федерации</w:t>
      </w:r>
      <w:proofErr w:type="gramEnd"/>
      <w:r w:rsidRPr="00E70FD3">
        <w:rPr>
          <w:rFonts w:ascii="Calibri" w:hAnsi="Calibri" w:cs="Calibri"/>
        </w:rPr>
        <w:t xml:space="preserve"> по Кировской области;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приобретение приборов для измерения концентрации этанола в выдыхаемом воздухе (с печатным устройством).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3.1.2. "Обеспечение безопасного участия детей в дорожном движении".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Основными мероприятиями по данному отдельному мероприятию являются: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приобретение мобильных </w:t>
      </w:r>
      <w:proofErr w:type="spellStart"/>
      <w:r w:rsidRPr="00E70FD3">
        <w:rPr>
          <w:rFonts w:ascii="Calibri" w:hAnsi="Calibri" w:cs="Calibri"/>
        </w:rPr>
        <w:t>автогородков</w:t>
      </w:r>
      <w:proofErr w:type="spellEnd"/>
      <w:r w:rsidRPr="00E70FD3">
        <w:rPr>
          <w:rFonts w:ascii="Calibri" w:hAnsi="Calibri" w:cs="Calibri"/>
        </w:rPr>
        <w:t xml:space="preserve"> для организаций, осуществляющих деятельность по формированию у детей дошкольного и школьного возраста навыков безопасного поведения на дороге;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изготовление и распространение </w:t>
      </w:r>
      <w:proofErr w:type="spellStart"/>
      <w:r w:rsidRPr="00E70FD3">
        <w:rPr>
          <w:rFonts w:ascii="Calibri" w:hAnsi="Calibri" w:cs="Calibri"/>
        </w:rPr>
        <w:t>световозвращающих</w:t>
      </w:r>
      <w:proofErr w:type="spellEnd"/>
      <w:r w:rsidRPr="00E70FD3">
        <w:rPr>
          <w:rFonts w:ascii="Calibri" w:hAnsi="Calibri" w:cs="Calibri"/>
        </w:rPr>
        <w:t xml:space="preserve"> приспособлений среди дошкольников и учащихся младших классов образовательных учреждений;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обеспечение и проведение тематических информационно-пропагандистских мероприятий, региональных конкурсов, фестивалей с несовершеннолетними участниками дорожного движения;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оснащение детских </w:t>
      </w:r>
      <w:proofErr w:type="spellStart"/>
      <w:r w:rsidRPr="00E70FD3">
        <w:rPr>
          <w:rFonts w:ascii="Calibri" w:hAnsi="Calibri" w:cs="Calibri"/>
        </w:rPr>
        <w:t>автогородков</w:t>
      </w:r>
      <w:proofErr w:type="spellEnd"/>
      <w:r w:rsidRPr="00E70FD3">
        <w:rPr>
          <w:rFonts w:ascii="Calibri" w:hAnsi="Calibri" w:cs="Calibri"/>
        </w:rPr>
        <w:t xml:space="preserve"> техническими средствами обучения, оборудованием и учебно-методическими материалами.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bookmarkStart w:id="1" w:name="Par114"/>
      <w:bookmarkEnd w:id="1"/>
      <w:r w:rsidRPr="00E70FD3">
        <w:rPr>
          <w:rFonts w:ascii="Calibri" w:hAnsi="Calibri" w:cs="Calibri"/>
        </w:rPr>
        <w:t>3.2. Для решения задачи "Повышение безопасности дорожных условий" определено отдельное мероприятие Подпрограммы "Развитие системы организации движения транспортных средств и пешеходов".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Основными мероприятиями по данному отдельному мероприятию являются: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нанесение горизонтальной разметки на автомобильных дорогах;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замена и установка дорожных знаков;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проектирование и строительство искусственного освещения на автомобильных дорогах;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устройство барьерного и пешеходного ограждений;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проектирование и строительство светофорных объектов;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восстановление автобусных остановок;</w:t>
      </w:r>
    </w:p>
    <w:p w:rsidR="00E70FD3" w:rsidRPr="00E70FD3" w:rsidRDefault="00E70FD3" w:rsidP="00E70FD3">
      <w:pPr>
        <w:autoSpaceDE w:val="0"/>
        <w:autoSpaceDN w:val="0"/>
        <w:adjustRightInd w:val="0"/>
        <w:spacing w:before="220"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>устройство системы автоматизированного весового контроля.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Calibri" w:hAnsi="Calibri" w:cs="Calibri"/>
        </w:rPr>
      </w:pPr>
      <w:r w:rsidRPr="00E70FD3">
        <w:rPr>
          <w:rFonts w:ascii="Calibri" w:hAnsi="Calibri" w:cs="Calibri"/>
        </w:rPr>
        <w:t>4. Основные меры правового регулирования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в сфере реализации Подпрограммы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gramStart"/>
      <w:r w:rsidRPr="00E70FD3">
        <w:rPr>
          <w:rFonts w:ascii="Calibri" w:hAnsi="Calibri" w:cs="Calibri"/>
        </w:rPr>
        <w:lastRenderedPageBreak/>
        <w:t>Разработка и утверждение дополнительных нормативных правовых актов Кировской области будут осуществлены в случае внесения изменений и (или) принятия на федеральном и областном уровнях нормативных правовых актов, затрагивающих сферу реализации Подпрограммы.</w:t>
      </w:r>
      <w:proofErr w:type="gramEnd"/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Calibri" w:hAnsi="Calibri" w:cs="Calibri"/>
        </w:rPr>
      </w:pPr>
      <w:r w:rsidRPr="00E70FD3">
        <w:rPr>
          <w:rFonts w:ascii="Calibri" w:hAnsi="Calibri" w:cs="Calibri"/>
        </w:rPr>
        <w:t>5. Ресурсное обеспечение Подпрограммы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proofErr w:type="gramStart"/>
      <w:r w:rsidRPr="00E70FD3">
        <w:rPr>
          <w:rFonts w:ascii="Calibri" w:hAnsi="Calibri" w:cs="Calibri"/>
        </w:rPr>
        <w:t xml:space="preserve">(в ред. </w:t>
      </w:r>
      <w:hyperlink r:id="rId13" w:history="1">
        <w:r w:rsidRPr="00E70FD3">
          <w:rPr>
            <w:rFonts w:ascii="Calibri" w:hAnsi="Calibri" w:cs="Calibri"/>
            <w:color w:val="0000FF"/>
          </w:rPr>
          <w:t>постановления</w:t>
        </w:r>
      </w:hyperlink>
      <w:r w:rsidRPr="00E70FD3">
        <w:rPr>
          <w:rFonts w:ascii="Calibri" w:hAnsi="Calibri" w:cs="Calibri"/>
        </w:rPr>
        <w:t xml:space="preserve"> Правительства Кировской области</w:t>
      </w:r>
      <w:proofErr w:type="gramEnd"/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от 31.01.2017 N 43/66)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Финансирование мероприятий Подпрограммы осуществляется за счет средств областного бюджета. Общий объем финансирования Подпрограммы составляет 1057247,96 тыс. рублей. Объем ежегодных расходов, связанных с финансовым обеспечением Подпрограммы за счет средств областного бюджета, устанавливается законом Кировской области об областном бюджете на очередной финансовый год. </w:t>
      </w:r>
      <w:hyperlink r:id="rId14" w:history="1">
        <w:r w:rsidRPr="00E70FD3">
          <w:rPr>
            <w:rFonts w:ascii="Calibri" w:hAnsi="Calibri" w:cs="Calibri"/>
            <w:color w:val="0000FF"/>
          </w:rPr>
          <w:t>Расходы</w:t>
        </w:r>
      </w:hyperlink>
      <w:r w:rsidRPr="00E70FD3">
        <w:rPr>
          <w:rFonts w:ascii="Calibri" w:hAnsi="Calibri" w:cs="Calibri"/>
        </w:rPr>
        <w:t xml:space="preserve"> на реализацию Подпрограммы за счет средств областного бюджета приведены в приложении N 3 к Государственной программе.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  <w:sectPr w:rsidR="00E70FD3" w:rsidRPr="00E70FD3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Calibri" w:hAnsi="Calibri" w:cs="Calibri"/>
        </w:rPr>
      </w:pPr>
      <w:r w:rsidRPr="00E70FD3">
        <w:rPr>
          <w:rFonts w:ascii="Calibri" w:hAnsi="Calibri" w:cs="Calibri"/>
        </w:rPr>
        <w:t>Объем финансирования Подпрограммы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по основным направлениям финансирования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361"/>
        <w:gridCol w:w="1247"/>
        <w:gridCol w:w="1247"/>
        <w:gridCol w:w="1247"/>
        <w:gridCol w:w="1247"/>
        <w:gridCol w:w="1361"/>
      </w:tblGrid>
      <w:tr w:rsidR="00E70FD3" w:rsidRPr="00E70FD3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Направления финансирования Подпрограммы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Объем финансирования Подпрограммы в 2016 - 2020 годах (тыс. рублей)</w:t>
            </w:r>
          </w:p>
        </w:tc>
      </w:tr>
      <w:tr w:rsidR="00E70FD3" w:rsidRPr="00E70FD3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всего</w:t>
            </w:r>
          </w:p>
        </w:tc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в том числе</w:t>
            </w:r>
          </w:p>
        </w:tc>
      </w:tr>
      <w:tr w:rsidR="00E70FD3" w:rsidRPr="00E70FD3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2016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2017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2018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2020 год</w:t>
            </w:r>
          </w:p>
        </w:tc>
      </w:tr>
      <w:tr w:rsidR="00E70FD3" w:rsidRPr="00E70FD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Капитальные вложения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275218,43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186802,00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57058,900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31357,53</w:t>
            </w:r>
          </w:p>
        </w:tc>
      </w:tr>
      <w:tr w:rsidR="00E70FD3" w:rsidRPr="00E70FD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782029,53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179360,00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111656,10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138500,00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139000,00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213513,43</w:t>
            </w:r>
          </w:p>
        </w:tc>
      </w:tr>
      <w:tr w:rsidR="00E70FD3" w:rsidRPr="00E70FD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1057247,96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366162,00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168715,00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138500,00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139000,00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3" w:rsidRPr="00E70FD3" w:rsidRDefault="00E70FD3" w:rsidP="00E70FD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</w:rPr>
            </w:pPr>
            <w:r w:rsidRPr="00E70FD3">
              <w:rPr>
                <w:rFonts w:ascii="Calibri" w:hAnsi="Calibri" w:cs="Calibri"/>
              </w:rPr>
              <w:t>244870,96</w:t>
            </w:r>
          </w:p>
        </w:tc>
      </w:tr>
    </w:tbl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Calibri" w:hAnsi="Calibri" w:cs="Calibri"/>
        </w:rPr>
      </w:pPr>
      <w:r w:rsidRPr="00E70FD3">
        <w:rPr>
          <w:rFonts w:ascii="Calibri" w:hAnsi="Calibri" w:cs="Calibri"/>
        </w:rPr>
        <w:t>6. Анализ рисков реализации Подпрограммы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</w:rPr>
      </w:pPr>
      <w:r w:rsidRPr="00E70FD3">
        <w:rPr>
          <w:rFonts w:ascii="Calibri" w:hAnsi="Calibri" w:cs="Calibri"/>
        </w:rPr>
        <w:t>и описание мер управления рисками</w:t>
      </w: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</w:rPr>
      </w:pPr>
    </w:p>
    <w:p w:rsidR="00E70FD3" w:rsidRPr="00E70FD3" w:rsidRDefault="00E70FD3" w:rsidP="00E70FD3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 w:rsidRPr="00E70FD3">
        <w:rPr>
          <w:rFonts w:ascii="Calibri" w:hAnsi="Calibri" w:cs="Calibri"/>
        </w:rPr>
        <w:t xml:space="preserve">Риски реализации мероприятий Подпрограммы, которыми могут управлять ответственный исполнитель и соисполнители Подпрограммы, уменьшая вероятность их возникновения, и мероприятия, направленные на их минимизацию, приведены в </w:t>
      </w:r>
      <w:hyperlink r:id="rId15" w:history="1">
        <w:r w:rsidRPr="00E70FD3">
          <w:rPr>
            <w:rFonts w:ascii="Calibri" w:hAnsi="Calibri" w:cs="Calibri"/>
            <w:color w:val="0000FF"/>
          </w:rPr>
          <w:t>разделе 6</w:t>
        </w:r>
      </w:hyperlink>
      <w:r w:rsidRPr="00E70FD3">
        <w:rPr>
          <w:rFonts w:ascii="Calibri" w:hAnsi="Calibri" w:cs="Calibri"/>
        </w:rPr>
        <w:t xml:space="preserve"> Государственной программы.</w:t>
      </w:r>
    </w:p>
    <w:p w:rsidR="00BC53DD" w:rsidRDefault="00BC53DD"/>
    <w:sectPr w:rsidR="00BC53DD" w:rsidSect="0006012B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FD3"/>
    <w:rsid w:val="00BC53DD"/>
    <w:rsid w:val="00E1441A"/>
    <w:rsid w:val="00E7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6D2076E00CAF24B3738A6162EC440B268491124D1407C251B70E194dDh4O" TargetMode="External"/><Relationship Id="rId13" Type="http://schemas.openxmlformats.org/officeDocument/2006/relationships/hyperlink" Target="consultantplus://offline/ref=2026D2076E00CAF24B3726AB00429849B061171523D84B2D7D4876B6CB844264B291075BF9F8E2ED029C64DCd1h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26D2076E00CAF24B3738A6162EC440B268491926D9407C251B70E194D44431F2D1010EBABCEFEDd0h7O" TargetMode="External"/><Relationship Id="rId12" Type="http://schemas.openxmlformats.org/officeDocument/2006/relationships/hyperlink" Target="consultantplus://offline/ref=2026D2076E00CAF24B3738A6162EC440B268491926D9407C251B70E194D44431F2D1010EBABCEFEDd0h7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26D2076E00CAF24B3726AB00429849B061171523D84B2D7D4876B6CB844264B291075BF9F8E2ED029C64DBd1h4O" TargetMode="External"/><Relationship Id="rId11" Type="http://schemas.openxmlformats.org/officeDocument/2006/relationships/hyperlink" Target="consultantplus://offline/ref=2026D2076E00CAF24B3726AB00429849B061171523D8492C784676B6CB844264B291075BF9F8E2ED039D6FD8d1h6O" TargetMode="External"/><Relationship Id="rId5" Type="http://schemas.openxmlformats.org/officeDocument/2006/relationships/hyperlink" Target="consultantplus://offline/ref=2026D2076E00CAF24B3726AB00429849B061171523D84B2D7D4876B6CB844264B291075BF9F8E2ED029C64DBd1h5O" TargetMode="External"/><Relationship Id="rId15" Type="http://schemas.openxmlformats.org/officeDocument/2006/relationships/hyperlink" Target="consultantplus://offline/ref=2026D2076E00CAF24B3726AB00429849B061171523D8492C784676B6CB844264B291075BF9F8E2ED029C64DEd1h7O" TargetMode="External"/><Relationship Id="rId10" Type="http://schemas.openxmlformats.org/officeDocument/2006/relationships/hyperlink" Target="consultantplus://offline/ref=2026D2076E00CAF24B3738A6162EC440B26A4F1821D8407C251B70E194D44431F2D1010EBABCEFECd0hBO" TargetMode="External"/><Relationship Id="rId4" Type="http://schemas.openxmlformats.org/officeDocument/2006/relationships/hyperlink" Target="consultantplus://offline/ref=2026D2076E00CAF24B3726AB00429849B061171523D94B2F7E4B76B6CB844264B291075BF9F8E2ED029C67DBd1h2O" TargetMode="External"/><Relationship Id="rId9" Type="http://schemas.openxmlformats.org/officeDocument/2006/relationships/hyperlink" Target="consultantplus://offline/ref=2026D2076E00CAF24B3738A6162EC440B168401B26DC407C251B70E194dDh4O" TargetMode="External"/><Relationship Id="rId14" Type="http://schemas.openxmlformats.org/officeDocument/2006/relationships/hyperlink" Target="consultantplus://offline/ref=2026D2076E00CAF24B3726AB00429849B061171523D8492C784676B6CB844264B291075BF9F8E2ED039E61DCd1h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2278</Words>
  <Characters>12990</Characters>
  <Application>Microsoft Office Word</Application>
  <DocSecurity>0</DocSecurity>
  <Lines>108</Lines>
  <Paragraphs>30</Paragraphs>
  <ScaleCrop>false</ScaleCrop>
  <Company>Microsoft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</dc:creator>
  <cp:keywords/>
  <dc:description/>
  <cp:lastModifiedBy>Kraev</cp:lastModifiedBy>
  <cp:revision>1</cp:revision>
  <dcterms:created xsi:type="dcterms:W3CDTF">2017-10-12T14:34:00Z</dcterms:created>
  <dcterms:modified xsi:type="dcterms:W3CDTF">2017-10-12T14:36:00Z</dcterms:modified>
</cp:coreProperties>
</file>